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1311F" w14:textId="77777777" w:rsidR="00342CE4" w:rsidRDefault="0059264A">
      <w:pPr>
        <w:rPr>
          <w:color w:val="002060"/>
        </w:rPr>
      </w:pPr>
      <w:r>
        <w:rPr>
          <w:noProof/>
          <w:lang w:eastAsia="en-GB"/>
        </w:rPr>
        <w:drawing>
          <wp:anchor distT="0" distB="0" distL="114300" distR="114300" simplePos="0" relativeHeight="251659264" behindDoc="0" locked="0" layoutInCell="1" allowOverlap="1" wp14:anchorId="6D8EDA8D" wp14:editId="1C634E08">
            <wp:simplePos x="0" y="0"/>
            <wp:positionH relativeFrom="margin">
              <wp:posOffset>-9525</wp:posOffset>
            </wp:positionH>
            <wp:positionV relativeFrom="paragraph">
              <wp:posOffset>0</wp:posOffset>
            </wp:positionV>
            <wp:extent cx="1931035" cy="1024255"/>
            <wp:effectExtent l="0" t="0" r="0" b="4445"/>
            <wp:wrapSquare wrapText="bothSides"/>
            <wp:docPr id="1" name="Picture 1" descr="CDI-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I-lar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1035"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64954" w14:textId="77777777" w:rsidR="0059264A" w:rsidRDefault="0059264A">
      <w:pPr>
        <w:rPr>
          <w:color w:val="002060"/>
        </w:rPr>
      </w:pPr>
    </w:p>
    <w:p w14:paraId="2AF7F7E7" w14:textId="77777777" w:rsidR="0059264A" w:rsidRDefault="0059264A">
      <w:pPr>
        <w:rPr>
          <w:color w:val="002060"/>
        </w:rPr>
      </w:pPr>
    </w:p>
    <w:p w14:paraId="05EE3156" w14:textId="77777777" w:rsidR="0059264A" w:rsidRDefault="0059264A" w:rsidP="0059264A">
      <w:pPr>
        <w:pStyle w:val="BasicParagraph"/>
        <w:suppressAutoHyphens/>
        <w:rPr>
          <w:rStyle w:val="learningoutcome"/>
          <w:rFonts w:asciiTheme="minorHAnsi" w:hAnsiTheme="minorHAnsi"/>
          <w:i w:val="0"/>
          <w:sz w:val="22"/>
          <w:szCs w:val="22"/>
        </w:rPr>
      </w:pPr>
    </w:p>
    <w:p w14:paraId="1DE7709C" w14:textId="77777777" w:rsidR="00C05262" w:rsidRDefault="0059264A" w:rsidP="0059264A">
      <w:pPr>
        <w:pStyle w:val="BasicParagraph"/>
        <w:suppressAutoHyphens/>
        <w:rPr>
          <w:rStyle w:val="learningoutcome"/>
          <w:rFonts w:asciiTheme="minorHAnsi" w:hAnsiTheme="minorHAnsi"/>
          <w:i w:val="0"/>
          <w:sz w:val="22"/>
          <w:szCs w:val="22"/>
        </w:rPr>
      </w:pPr>
      <w:r w:rsidRPr="0059264A">
        <w:rPr>
          <w:rStyle w:val="learningoutcome"/>
          <w:rFonts w:asciiTheme="minorHAnsi" w:hAnsiTheme="minorHAnsi"/>
          <w:i w:val="0"/>
          <w:sz w:val="22"/>
          <w:szCs w:val="22"/>
        </w:rPr>
        <w:t>Qualification in Career Development</w:t>
      </w:r>
      <w:r>
        <w:rPr>
          <w:rStyle w:val="learningoutcome"/>
          <w:rFonts w:asciiTheme="minorHAnsi" w:hAnsiTheme="minorHAnsi"/>
          <w:i w:val="0"/>
          <w:sz w:val="22"/>
          <w:szCs w:val="22"/>
        </w:rPr>
        <w:t xml:space="preserve"> (September 2021 onwards)</w:t>
      </w:r>
    </w:p>
    <w:p w14:paraId="52D7C545" w14:textId="77777777" w:rsidR="0059264A" w:rsidRPr="0059264A" w:rsidRDefault="0059264A" w:rsidP="0059264A">
      <w:pPr>
        <w:pStyle w:val="BasicParagraph"/>
        <w:suppressAutoHyphens/>
        <w:rPr>
          <w:rStyle w:val="learningoutcome"/>
          <w:rFonts w:asciiTheme="minorHAnsi" w:hAnsiTheme="minorHAnsi"/>
          <w:i w:val="0"/>
          <w:sz w:val="22"/>
          <w:szCs w:val="22"/>
        </w:rPr>
      </w:pPr>
      <w:r w:rsidRPr="0059264A">
        <w:rPr>
          <w:rStyle w:val="learningoutcome"/>
          <w:rFonts w:asciiTheme="minorHAnsi" w:hAnsiTheme="minorHAnsi"/>
          <w:i w:val="0"/>
          <w:sz w:val="22"/>
          <w:szCs w:val="22"/>
        </w:rPr>
        <w:t>Professional Development Report - location of evidence</w:t>
      </w:r>
    </w:p>
    <w:p w14:paraId="3AB7D58A" w14:textId="77777777" w:rsidR="0059264A" w:rsidRPr="0059264A" w:rsidRDefault="0059264A" w:rsidP="0059264A">
      <w:pPr>
        <w:pStyle w:val="BasicParagraph"/>
        <w:suppressAutoHyphens/>
        <w:rPr>
          <w:rStyle w:val="learningoutcome"/>
          <w:rFonts w:asciiTheme="minorHAnsi" w:hAnsiTheme="minorHAnsi"/>
          <w:i w:val="0"/>
          <w:sz w:val="22"/>
          <w:szCs w:val="22"/>
        </w:rPr>
      </w:pPr>
    </w:p>
    <w:p w14:paraId="3987D112" w14:textId="77777777" w:rsidR="0059264A" w:rsidRPr="0059264A" w:rsidRDefault="0059264A" w:rsidP="0059264A">
      <w:pPr>
        <w:pStyle w:val="BasicParagraph"/>
        <w:suppressAutoHyphens/>
        <w:rPr>
          <w:rStyle w:val="learningoutcome"/>
          <w:rFonts w:asciiTheme="minorHAnsi" w:hAnsiTheme="minorHAnsi"/>
          <w:b w:val="0"/>
          <w:i w:val="0"/>
          <w:color w:val="002060"/>
          <w:sz w:val="22"/>
          <w:szCs w:val="22"/>
        </w:rPr>
      </w:pPr>
      <w:r w:rsidRPr="0059264A">
        <w:rPr>
          <w:rStyle w:val="learningoutcome"/>
          <w:rFonts w:asciiTheme="minorHAnsi" w:hAnsiTheme="minorHAnsi"/>
          <w:i w:val="0"/>
          <w:color w:val="002060"/>
          <w:sz w:val="22"/>
          <w:szCs w:val="22"/>
        </w:rPr>
        <w:t xml:space="preserve">One of the requirements of the Professional Report for the Qualification in Career Development is that you can show where the work you have undertaken meets the following Learning Outcomes. </w:t>
      </w:r>
    </w:p>
    <w:p w14:paraId="2A6C7363" w14:textId="77777777" w:rsidR="0059264A" w:rsidRPr="0059264A" w:rsidRDefault="0059264A" w:rsidP="0059264A">
      <w:pPr>
        <w:pStyle w:val="BasicParagraph"/>
        <w:suppressAutoHyphens/>
        <w:rPr>
          <w:rStyle w:val="learningoutcome"/>
          <w:rFonts w:asciiTheme="minorHAnsi" w:hAnsiTheme="minorHAnsi"/>
          <w:b w:val="0"/>
          <w:i w:val="0"/>
          <w:color w:val="002060"/>
          <w:sz w:val="22"/>
          <w:szCs w:val="22"/>
        </w:rPr>
      </w:pPr>
    </w:p>
    <w:p w14:paraId="1D935A42" w14:textId="77777777" w:rsidR="0059264A" w:rsidRPr="0059264A" w:rsidRDefault="0059264A" w:rsidP="0059264A">
      <w:pPr>
        <w:pStyle w:val="BasicParagraph"/>
        <w:suppressAutoHyphens/>
        <w:rPr>
          <w:rStyle w:val="learningoutcome"/>
          <w:rFonts w:asciiTheme="minorHAnsi" w:hAnsiTheme="minorHAnsi"/>
          <w:b w:val="0"/>
          <w:i w:val="0"/>
          <w:color w:val="002060"/>
          <w:sz w:val="22"/>
          <w:szCs w:val="22"/>
        </w:rPr>
      </w:pPr>
      <w:r w:rsidRPr="0059264A">
        <w:rPr>
          <w:rStyle w:val="learningoutcome"/>
          <w:rFonts w:asciiTheme="minorHAnsi" w:hAnsiTheme="minorHAnsi"/>
          <w:i w:val="0"/>
          <w:color w:val="002060"/>
          <w:sz w:val="22"/>
          <w:szCs w:val="22"/>
        </w:rPr>
        <w:t>Plea</w:t>
      </w:r>
      <w:r>
        <w:rPr>
          <w:rStyle w:val="learningoutcome"/>
          <w:rFonts w:asciiTheme="minorHAnsi" w:hAnsiTheme="minorHAnsi"/>
          <w:i w:val="0"/>
          <w:color w:val="002060"/>
          <w:sz w:val="22"/>
          <w:szCs w:val="22"/>
        </w:rPr>
        <w:t>se complete the following table</w:t>
      </w:r>
      <w:r w:rsidRPr="0059264A">
        <w:rPr>
          <w:rStyle w:val="learningoutcome"/>
          <w:rFonts w:asciiTheme="minorHAnsi" w:hAnsiTheme="minorHAnsi"/>
          <w:i w:val="0"/>
          <w:color w:val="002060"/>
          <w:sz w:val="22"/>
          <w:szCs w:val="22"/>
        </w:rPr>
        <w:t xml:space="preserve"> stating where the evidence can be found. This will help the CDI Moderator to sample your work and locate the evidence. If there are any aspects that you have not covered through assignments or other assessed work please provide a statement/s to demonstrate your understanding. Alternatively, subject to arrangements at your university, you can cover any gaps in a professional guided discussion with your tutor and include a recording of this. </w:t>
      </w:r>
    </w:p>
    <w:p w14:paraId="38FA5FC8" w14:textId="77777777" w:rsidR="0059264A" w:rsidRPr="0059264A" w:rsidRDefault="0059264A">
      <w:pPr>
        <w:rPr>
          <w:color w:val="002060"/>
        </w:rPr>
      </w:pPr>
    </w:p>
    <w:p w14:paraId="78395245" w14:textId="77777777" w:rsidR="0059264A" w:rsidRPr="0059264A" w:rsidRDefault="0059264A">
      <w:pPr>
        <w:rPr>
          <w:color w:val="002060"/>
        </w:rPr>
      </w:pPr>
    </w:p>
    <w:tbl>
      <w:tblPr>
        <w:tblStyle w:val="TableGrid"/>
        <w:tblW w:w="0" w:type="auto"/>
        <w:tblLook w:val="04A0" w:firstRow="1" w:lastRow="0" w:firstColumn="1" w:lastColumn="0" w:noHBand="0" w:noVBand="1"/>
      </w:tblPr>
      <w:tblGrid>
        <w:gridCol w:w="7319"/>
        <w:gridCol w:w="6629"/>
      </w:tblGrid>
      <w:tr w:rsidR="0059264A" w:rsidRPr="0059264A" w14:paraId="57F5863B" w14:textId="77777777" w:rsidTr="0059264A">
        <w:tc>
          <w:tcPr>
            <w:tcW w:w="7319" w:type="dxa"/>
          </w:tcPr>
          <w:p w14:paraId="4A16205F" w14:textId="77777777" w:rsidR="0059264A" w:rsidRPr="0059264A" w:rsidRDefault="0059264A" w:rsidP="00C345DA">
            <w:pPr>
              <w:rPr>
                <w:b/>
                <w:color w:val="002060"/>
              </w:rPr>
            </w:pPr>
          </w:p>
        </w:tc>
        <w:tc>
          <w:tcPr>
            <w:tcW w:w="6629" w:type="dxa"/>
          </w:tcPr>
          <w:p w14:paraId="4DE4A75D" w14:textId="77777777" w:rsidR="0059264A" w:rsidRPr="0059264A" w:rsidRDefault="0059264A" w:rsidP="00C345DA">
            <w:pPr>
              <w:rPr>
                <w:b/>
                <w:color w:val="002060"/>
              </w:rPr>
            </w:pPr>
            <w:r w:rsidRPr="0059264A">
              <w:rPr>
                <w:b/>
                <w:color w:val="002060"/>
              </w:rPr>
              <w:t>Where evidence of this is located, e.g. name of assignment/ assessed interview with (type of client)</w:t>
            </w:r>
          </w:p>
        </w:tc>
      </w:tr>
      <w:tr w:rsidR="0059264A" w:rsidRPr="0059264A" w14:paraId="78032260" w14:textId="77777777" w:rsidTr="0059264A">
        <w:tc>
          <w:tcPr>
            <w:tcW w:w="7319" w:type="dxa"/>
          </w:tcPr>
          <w:p w14:paraId="012B7169" w14:textId="77777777" w:rsidR="0059264A" w:rsidRPr="0059264A" w:rsidRDefault="0059264A" w:rsidP="00C345DA">
            <w:pPr>
              <w:rPr>
                <w:color w:val="002060"/>
              </w:rPr>
            </w:pPr>
            <w:r w:rsidRPr="0059264A">
              <w:rPr>
                <w:b/>
                <w:color w:val="002060"/>
              </w:rPr>
              <w:t>QCD Learning Outcome 1</w:t>
            </w:r>
            <w:r w:rsidRPr="0059264A">
              <w:rPr>
                <w:color w:val="002060"/>
              </w:rPr>
              <w:t>: Demonstrate critical understanding of issues relating to the production, application and client use of sources of career and labour market information and assessment tools and techniques</w:t>
            </w:r>
          </w:p>
        </w:tc>
        <w:tc>
          <w:tcPr>
            <w:tcW w:w="6629" w:type="dxa"/>
          </w:tcPr>
          <w:p w14:paraId="7AAA72CD" w14:textId="77777777" w:rsidR="0059264A" w:rsidRPr="0059264A" w:rsidRDefault="0059264A" w:rsidP="00C345DA">
            <w:pPr>
              <w:rPr>
                <w:color w:val="002060"/>
              </w:rPr>
            </w:pPr>
          </w:p>
        </w:tc>
      </w:tr>
      <w:tr w:rsidR="0059264A" w:rsidRPr="0059264A" w14:paraId="2965C5F0" w14:textId="77777777" w:rsidTr="0059264A">
        <w:tc>
          <w:tcPr>
            <w:tcW w:w="7319" w:type="dxa"/>
          </w:tcPr>
          <w:p w14:paraId="2B4AA4A7" w14:textId="77777777" w:rsidR="0059264A" w:rsidRPr="0059264A" w:rsidRDefault="0059264A" w:rsidP="00C345DA">
            <w:pPr>
              <w:rPr>
                <w:color w:val="002060"/>
              </w:rPr>
            </w:pPr>
            <w:r w:rsidRPr="0059264A">
              <w:rPr>
                <w:b/>
                <w:color w:val="002060"/>
              </w:rPr>
              <w:t>QCD Learning Outcome 2</w:t>
            </w:r>
            <w:r w:rsidRPr="0059264A">
              <w:rPr>
                <w:color w:val="002060"/>
              </w:rPr>
              <w:t>: Demonstrate critical understanding of principles of learning design and apply them to a range of career-related learning activities</w:t>
            </w:r>
          </w:p>
        </w:tc>
        <w:tc>
          <w:tcPr>
            <w:tcW w:w="6629" w:type="dxa"/>
          </w:tcPr>
          <w:p w14:paraId="699B642C" w14:textId="77777777" w:rsidR="0059264A" w:rsidRDefault="0059264A" w:rsidP="00C345DA">
            <w:pPr>
              <w:rPr>
                <w:color w:val="002060"/>
              </w:rPr>
            </w:pPr>
          </w:p>
          <w:p w14:paraId="095ECD18" w14:textId="77777777" w:rsidR="0059264A" w:rsidRDefault="0059264A" w:rsidP="00C345DA">
            <w:pPr>
              <w:rPr>
                <w:color w:val="002060"/>
              </w:rPr>
            </w:pPr>
          </w:p>
          <w:p w14:paraId="14EED4C8" w14:textId="77777777" w:rsidR="0059264A" w:rsidRPr="0059264A" w:rsidRDefault="0059264A" w:rsidP="00C345DA">
            <w:pPr>
              <w:rPr>
                <w:color w:val="002060"/>
              </w:rPr>
            </w:pPr>
          </w:p>
        </w:tc>
      </w:tr>
      <w:tr w:rsidR="0059264A" w:rsidRPr="0059264A" w14:paraId="1A896746" w14:textId="77777777" w:rsidTr="0059264A">
        <w:tc>
          <w:tcPr>
            <w:tcW w:w="7319" w:type="dxa"/>
          </w:tcPr>
          <w:p w14:paraId="40675464" w14:textId="77777777" w:rsidR="0059264A" w:rsidRPr="0059264A" w:rsidRDefault="0059264A" w:rsidP="00C345DA">
            <w:pPr>
              <w:rPr>
                <w:color w:val="002060"/>
              </w:rPr>
            </w:pPr>
            <w:r w:rsidRPr="0059264A">
              <w:rPr>
                <w:b/>
                <w:color w:val="002060"/>
              </w:rPr>
              <w:t>QCD Learning Outcome 3:</w:t>
            </w:r>
            <w:r w:rsidRPr="0059264A">
              <w:rPr>
                <w:color w:val="002060"/>
              </w:rPr>
              <w:t xml:space="preserve"> Demonstrate critical understanding of theoretical approaches to the study of career development from a range of disciplinary areas</w:t>
            </w:r>
          </w:p>
        </w:tc>
        <w:tc>
          <w:tcPr>
            <w:tcW w:w="6629" w:type="dxa"/>
          </w:tcPr>
          <w:p w14:paraId="571D4FC0" w14:textId="77777777" w:rsidR="0059264A" w:rsidRPr="0059264A" w:rsidRDefault="0059264A" w:rsidP="00C345DA">
            <w:pPr>
              <w:rPr>
                <w:color w:val="002060"/>
              </w:rPr>
            </w:pPr>
          </w:p>
        </w:tc>
      </w:tr>
      <w:tr w:rsidR="0059264A" w:rsidRPr="0059264A" w14:paraId="581D4883" w14:textId="77777777" w:rsidTr="0059264A">
        <w:tc>
          <w:tcPr>
            <w:tcW w:w="7319" w:type="dxa"/>
          </w:tcPr>
          <w:p w14:paraId="244B98D6" w14:textId="77777777" w:rsidR="0059264A" w:rsidRPr="0059264A" w:rsidRDefault="0059264A" w:rsidP="00C345DA">
            <w:pPr>
              <w:rPr>
                <w:color w:val="002060"/>
              </w:rPr>
            </w:pPr>
            <w:r w:rsidRPr="0059264A">
              <w:rPr>
                <w:b/>
                <w:color w:val="002060"/>
              </w:rPr>
              <w:t>QCD Learning Outcome 4:</w:t>
            </w:r>
            <w:r w:rsidRPr="0059264A">
              <w:rPr>
                <w:color w:val="002060"/>
              </w:rPr>
              <w:t xml:space="preserve"> Utilise and critique a range of approaches and techniques for conducting client-focused career development interactions with individuals using a variety of delivery modes.</w:t>
            </w:r>
          </w:p>
        </w:tc>
        <w:tc>
          <w:tcPr>
            <w:tcW w:w="6629" w:type="dxa"/>
          </w:tcPr>
          <w:p w14:paraId="03330A42" w14:textId="77777777" w:rsidR="0059264A" w:rsidRPr="0059264A" w:rsidRDefault="0059264A" w:rsidP="00C345DA">
            <w:pPr>
              <w:rPr>
                <w:color w:val="002060"/>
              </w:rPr>
            </w:pPr>
          </w:p>
        </w:tc>
      </w:tr>
      <w:tr w:rsidR="0059264A" w:rsidRPr="0059264A" w14:paraId="489B6BFE" w14:textId="77777777" w:rsidTr="0059264A">
        <w:tc>
          <w:tcPr>
            <w:tcW w:w="7319" w:type="dxa"/>
          </w:tcPr>
          <w:p w14:paraId="7673AED1" w14:textId="77777777" w:rsidR="0059264A" w:rsidRPr="0059264A" w:rsidRDefault="0059264A" w:rsidP="00C345DA">
            <w:pPr>
              <w:rPr>
                <w:color w:val="002060"/>
              </w:rPr>
            </w:pPr>
            <w:r w:rsidRPr="0059264A">
              <w:rPr>
                <w:b/>
                <w:color w:val="002060"/>
              </w:rPr>
              <w:lastRenderedPageBreak/>
              <w:t>QCD Learning Outcome 5:</w:t>
            </w:r>
            <w:r w:rsidRPr="0059264A">
              <w:rPr>
                <w:color w:val="002060"/>
              </w:rPr>
              <w:t xml:space="preserve"> Demonstrate critical understanding of the development of contemporary career-related policy and its impact on service delivery and practice.</w:t>
            </w:r>
          </w:p>
        </w:tc>
        <w:tc>
          <w:tcPr>
            <w:tcW w:w="6629" w:type="dxa"/>
          </w:tcPr>
          <w:p w14:paraId="4F0687FA" w14:textId="77777777" w:rsidR="0059264A" w:rsidRPr="0059264A" w:rsidRDefault="0059264A" w:rsidP="00C345DA">
            <w:pPr>
              <w:rPr>
                <w:color w:val="002060"/>
              </w:rPr>
            </w:pPr>
          </w:p>
        </w:tc>
      </w:tr>
      <w:tr w:rsidR="0059264A" w:rsidRPr="0059264A" w14:paraId="0972E612" w14:textId="77777777" w:rsidTr="0059264A">
        <w:tc>
          <w:tcPr>
            <w:tcW w:w="7319" w:type="dxa"/>
          </w:tcPr>
          <w:p w14:paraId="0D8AD7E0" w14:textId="77777777" w:rsidR="0059264A" w:rsidRPr="0059264A" w:rsidRDefault="0059264A" w:rsidP="00C345DA">
            <w:pPr>
              <w:rPr>
                <w:color w:val="002060"/>
              </w:rPr>
            </w:pPr>
            <w:r w:rsidRPr="0059264A">
              <w:rPr>
                <w:b/>
                <w:color w:val="002060"/>
              </w:rPr>
              <w:t>QCD Learning Outcome 6:</w:t>
            </w:r>
            <w:r w:rsidRPr="0059264A">
              <w:rPr>
                <w:color w:val="002060"/>
              </w:rPr>
              <w:t xml:space="preserve"> Demonstrate critical understanding and awareness of professional networks and partnership working.</w:t>
            </w:r>
          </w:p>
        </w:tc>
        <w:tc>
          <w:tcPr>
            <w:tcW w:w="6629" w:type="dxa"/>
          </w:tcPr>
          <w:p w14:paraId="228875BB" w14:textId="77777777" w:rsidR="0059264A" w:rsidRDefault="0059264A" w:rsidP="00C345DA">
            <w:pPr>
              <w:rPr>
                <w:color w:val="002060"/>
              </w:rPr>
            </w:pPr>
          </w:p>
          <w:p w14:paraId="68195A1A" w14:textId="77777777" w:rsidR="00880EA6" w:rsidRDefault="00880EA6" w:rsidP="00C345DA">
            <w:pPr>
              <w:rPr>
                <w:color w:val="002060"/>
              </w:rPr>
            </w:pPr>
          </w:p>
          <w:p w14:paraId="2FA2891D" w14:textId="77777777" w:rsidR="00880EA6" w:rsidRPr="0059264A" w:rsidRDefault="00880EA6" w:rsidP="00C345DA">
            <w:pPr>
              <w:rPr>
                <w:color w:val="002060"/>
              </w:rPr>
            </w:pPr>
          </w:p>
        </w:tc>
      </w:tr>
      <w:tr w:rsidR="0059264A" w:rsidRPr="0059264A" w14:paraId="40F2B1A3" w14:textId="77777777" w:rsidTr="0059264A">
        <w:tc>
          <w:tcPr>
            <w:tcW w:w="7319" w:type="dxa"/>
          </w:tcPr>
          <w:p w14:paraId="17F0ED6D" w14:textId="77777777" w:rsidR="0059264A" w:rsidRPr="0059264A" w:rsidRDefault="0059264A" w:rsidP="00C345DA">
            <w:pPr>
              <w:rPr>
                <w:color w:val="002060"/>
              </w:rPr>
            </w:pPr>
            <w:r w:rsidRPr="0059264A">
              <w:rPr>
                <w:b/>
                <w:color w:val="002060"/>
              </w:rPr>
              <w:t>QCD Learning Outcome 7:</w:t>
            </w:r>
            <w:r w:rsidRPr="0059264A">
              <w:rPr>
                <w:color w:val="002060"/>
              </w:rPr>
              <w:t xml:space="preserve"> Demonstrate critical understanding of personal values and beliefs, ethical and legal issues and their application to career development practice.</w:t>
            </w:r>
          </w:p>
        </w:tc>
        <w:tc>
          <w:tcPr>
            <w:tcW w:w="6629" w:type="dxa"/>
          </w:tcPr>
          <w:p w14:paraId="10D11A82" w14:textId="77777777" w:rsidR="0059264A" w:rsidRPr="0059264A" w:rsidRDefault="0059264A" w:rsidP="00C345DA">
            <w:pPr>
              <w:rPr>
                <w:color w:val="002060"/>
              </w:rPr>
            </w:pPr>
          </w:p>
        </w:tc>
      </w:tr>
      <w:tr w:rsidR="0059264A" w:rsidRPr="0059264A" w14:paraId="049DFC94" w14:textId="77777777" w:rsidTr="0059264A">
        <w:tc>
          <w:tcPr>
            <w:tcW w:w="7319" w:type="dxa"/>
          </w:tcPr>
          <w:p w14:paraId="39958DD6" w14:textId="77777777" w:rsidR="0059264A" w:rsidRPr="0059264A" w:rsidRDefault="0059264A" w:rsidP="00C345DA">
            <w:pPr>
              <w:rPr>
                <w:color w:val="002060"/>
              </w:rPr>
            </w:pPr>
            <w:r w:rsidRPr="0059264A">
              <w:rPr>
                <w:b/>
                <w:color w:val="002060"/>
              </w:rPr>
              <w:t>QCD Learning Outcome 8:</w:t>
            </w:r>
            <w:r w:rsidRPr="0059264A">
              <w:rPr>
                <w:color w:val="002060"/>
              </w:rPr>
              <w:t xml:space="preserve"> Demonstrate a commitment to continuous professional development as a career development practitioner.</w:t>
            </w:r>
          </w:p>
        </w:tc>
        <w:tc>
          <w:tcPr>
            <w:tcW w:w="6629" w:type="dxa"/>
          </w:tcPr>
          <w:p w14:paraId="396F197E" w14:textId="77777777" w:rsidR="0059264A" w:rsidRDefault="0059264A" w:rsidP="00C345DA">
            <w:pPr>
              <w:rPr>
                <w:color w:val="002060"/>
              </w:rPr>
            </w:pPr>
          </w:p>
          <w:p w14:paraId="7631CCF0" w14:textId="77777777" w:rsidR="00880EA6" w:rsidRDefault="00880EA6" w:rsidP="00C345DA">
            <w:pPr>
              <w:rPr>
                <w:color w:val="002060"/>
              </w:rPr>
            </w:pPr>
          </w:p>
          <w:p w14:paraId="6F900F0B" w14:textId="77777777" w:rsidR="00880EA6" w:rsidRPr="0059264A" w:rsidRDefault="00880EA6" w:rsidP="00C345DA">
            <w:pPr>
              <w:rPr>
                <w:color w:val="002060"/>
              </w:rPr>
            </w:pPr>
          </w:p>
        </w:tc>
      </w:tr>
    </w:tbl>
    <w:p w14:paraId="3BEF7CAD" w14:textId="77777777" w:rsidR="0059264A" w:rsidRPr="0059264A" w:rsidRDefault="0059264A" w:rsidP="0059264A">
      <w:pPr>
        <w:rPr>
          <w:color w:val="002060"/>
        </w:rPr>
      </w:pPr>
    </w:p>
    <w:sectPr w:rsidR="0059264A" w:rsidRPr="0059264A" w:rsidSect="0059264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90311" w14:textId="77777777" w:rsidR="008909C3" w:rsidRDefault="008909C3" w:rsidP="0059264A">
      <w:r>
        <w:separator/>
      </w:r>
    </w:p>
  </w:endnote>
  <w:endnote w:type="continuationSeparator" w:id="0">
    <w:p w14:paraId="075894F6" w14:textId="77777777" w:rsidR="008909C3" w:rsidRDefault="008909C3" w:rsidP="0059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yriadPro-BoldIt">
    <w:altName w:val="Myriad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A068C" w14:textId="77777777" w:rsidR="008909C3" w:rsidRDefault="008909C3" w:rsidP="0059264A">
      <w:r>
        <w:separator/>
      </w:r>
    </w:p>
  </w:footnote>
  <w:footnote w:type="continuationSeparator" w:id="0">
    <w:p w14:paraId="2D49DC0F" w14:textId="77777777" w:rsidR="008909C3" w:rsidRDefault="008909C3" w:rsidP="00592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64A"/>
    <w:rsid w:val="00342CE4"/>
    <w:rsid w:val="0059264A"/>
    <w:rsid w:val="00880EA6"/>
    <w:rsid w:val="008909C3"/>
    <w:rsid w:val="00C05262"/>
    <w:rsid w:val="00CA6FD3"/>
    <w:rsid w:val="00FB3DD2"/>
    <w:rsid w:val="00FF3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CA36B"/>
  <w15:chartTrackingRefBased/>
  <w15:docId w15:val="{6A56BF0C-8E05-4DA8-A810-EFC15538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6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264A"/>
    <w:pPr>
      <w:tabs>
        <w:tab w:val="center" w:pos="4513"/>
        <w:tab w:val="right" w:pos="9026"/>
      </w:tabs>
    </w:pPr>
  </w:style>
  <w:style w:type="character" w:customStyle="1" w:styleId="HeaderChar">
    <w:name w:val="Header Char"/>
    <w:basedOn w:val="DefaultParagraphFont"/>
    <w:link w:val="Header"/>
    <w:uiPriority w:val="99"/>
    <w:rsid w:val="0059264A"/>
    <w:rPr>
      <w:rFonts w:ascii="Calibri" w:hAnsi="Calibri" w:cs="Calibri"/>
    </w:rPr>
  </w:style>
  <w:style w:type="paragraph" w:styleId="Footer">
    <w:name w:val="footer"/>
    <w:basedOn w:val="Normal"/>
    <w:link w:val="FooterChar"/>
    <w:uiPriority w:val="99"/>
    <w:unhideWhenUsed/>
    <w:rsid w:val="0059264A"/>
    <w:pPr>
      <w:tabs>
        <w:tab w:val="center" w:pos="4513"/>
        <w:tab w:val="right" w:pos="9026"/>
      </w:tabs>
    </w:pPr>
  </w:style>
  <w:style w:type="character" w:customStyle="1" w:styleId="FooterChar">
    <w:name w:val="Footer Char"/>
    <w:basedOn w:val="DefaultParagraphFont"/>
    <w:link w:val="Footer"/>
    <w:uiPriority w:val="99"/>
    <w:rsid w:val="0059264A"/>
    <w:rPr>
      <w:rFonts w:ascii="Calibri" w:hAnsi="Calibri" w:cs="Calibri"/>
    </w:rPr>
  </w:style>
  <w:style w:type="paragraph" w:customStyle="1" w:styleId="BasicParagraph">
    <w:name w:val="[Basic Paragraph]"/>
    <w:basedOn w:val="Normal"/>
    <w:uiPriority w:val="99"/>
    <w:rsid w:val="0059264A"/>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learningoutcome">
    <w:name w:val="learning outcome"/>
    <w:basedOn w:val="DefaultParagraphFont"/>
    <w:uiPriority w:val="99"/>
    <w:rsid w:val="0059264A"/>
    <w:rPr>
      <w:rFonts w:ascii="MyriadPro-BoldIt" w:hAnsi="MyriadPro-BoldIt" w:cs="MyriadPro-BoldIt"/>
      <w:b/>
      <w:bCs/>
      <w:i/>
      <w:iCs/>
      <w:color w:val="00858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Johnson</dc:creator>
  <cp:keywords/>
  <dc:description/>
  <cp:lastModifiedBy>Dan Hope</cp:lastModifiedBy>
  <cp:revision>2</cp:revision>
  <dcterms:created xsi:type="dcterms:W3CDTF">2021-08-24T11:32:00Z</dcterms:created>
  <dcterms:modified xsi:type="dcterms:W3CDTF">2021-08-24T11:32:00Z</dcterms:modified>
</cp:coreProperties>
</file>